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2BF" w:rsidRPr="008F2B45" w:rsidRDefault="00F362BF" w:rsidP="00F362B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C97A83" wp14:editId="6F6DE268">
            <wp:extent cx="617220" cy="525780"/>
            <wp:effectExtent l="0" t="0" r="0" b="7620"/>
            <wp:docPr id="6" name="Изображение1" descr="C:\Users\Savki\OneDrive\Рабочий стол\main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 descr="C:\Users\Savki\OneDrive\Рабочий стол\main-logo.png"/>
                    <pic:cNvPicPr>
                      <a:extLst>
                        <a:ext uri="smNativeData">
                          <sm:smNativeData xmlns=""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val="SMDATA_17_rb7QuhMAAAAlAAAAEQAAAA0AAAAAkAAAAEgAAACQAAAASAAAAAAAAAAAAAAAAAAAAAEAAABQAAAAAAAAAAAA4D8AAAAAAADgPwAAAAAAAOA/AAAAAAAA4D8AAAAAAADgPwAAAAAAAOA/AAAAAAAA4D8AAAAAAADgPwAAAAAAAOA/AAAAAAAA4D8CAAAAjAAAAAAAAAAAAAAAT4G9DP///wg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Du7OEKAAAAACgAAAAoAAAAZAAAAGQAAAAAAAAAzMzMAAAAAABQAAAAUAAAAGQAAABkAAAAAAAAAAcAAAA4AAAAAAAAAAAAAAAAAAAA////AAAAAAAAAAAAAAAAAAAAAAAAAAAAAAAAAAAAAABkAAAAZAAAAAEAAAAjAAAABAAAAGQAAAAXAAAAFAAAAAAAAAAAAAAA/38AAP9/AAAAAAAACQAAAAQAAAAsAMoCHgAAAGgAAAAAAAAAAAAAAAAAAAAAAAAAAAAAABAnAAAQJwAAAAAAAAAAAAAAAAAAAAAAAAAAAAAAAAAAAAAAAAAAAAAUAAAAAAAAAMDA/wAAAAAAZAAAADIAAAAAAAAAZAAAAAAAAAB/f38ACgAAACIAAAAYAAAAAAAAAAAAAAAAAAAAAAAAAAAAAAAAAAAAJAAAACQAAAAAAAAABwAAAAAAAAAAAAAAAAAAAAAAAAAAAAAAAAAAAAAAAAAlAAAAWAAAAAAAAAAAAAAAAAAAAAAAAAAAAAAAAAAAAAAAAAAAAAAAAAAAAAAAAAAAAAAAPwAAAAAAAACghgEAAAAAAAAAAAAAAAAADAAAAAEAAAAAAAAAAAAAAAAAAAAfAAAAVAAAAE+BvQX///8BAAAAAAAAAAAAAAAAAAAAAAAAAAAAAAAAAAAAAAAAAAAAAAAAf39/AO7s4QPMzMwAwMD/AH9/fwAAAAAAAAAAAAAAAAD///8AAAAAACEAAAAYAAAAFAAAAKAFAACgBQAAbAkAANwIAAAQAAAAJgAAAAgAAAD//////////w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8F2B45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    </w:t>
      </w:r>
      <w:r w:rsidRPr="008F2B4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Областное государственное автономное учреждение </w:t>
      </w:r>
    </w:p>
    <w:p w:rsidR="00F362BF" w:rsidRPr="008F2B45" w:rsidRDefault="00F362BF" w:rsidP="00F362B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F2B45">
        <w:rPr>
          <w:rFonts w:ascii="Times New Roman" w:hAnsi="Times New Roman" w:cs="Times New Roman"/>
          <w:bCs/>
          <w:color w:val="002060"/>
          <w:sz w:val="28"/>
          <w:szCs w:val="28"/>
        </w:rPr>
        <w:t>социального обслуживания</w:t>
      </w:r>
    </w:p>
    <w:p w:rsidR="00F362BF" w:rsidRPr="008F2B45" w:rsidRDefault="00F362BF" w:rsidP="00F362B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F2B45">
        <w:rPr>
          <w:rFonts w:ascii="Times New Roman" w:hAnsi="Times New Roman" w:cs="Times New Roman"/>
          <w:bCs/>
          <w:color w:val="002060"/>
          <w:sz w:val="28"/>
          <w:szCs w:val="28"/>
        </w:rPr>
        <w:t>«Центр социально-психологической помощи семье и детям»</w:t>
      </w:r>
    </w:p>
    <w:p w:rsidR="00F362BF" w:rsidRDefault="00F362BF" w:rsidP="00F362BF">
      <w:pPr>
        <w:tabs>
          <w:tab w:val="left" w:pos="1975"/>
        </w:tabs>
        <w:spacing w:after="0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F362BF" w:rsidRDefault="00F362BF" w:rsidP="00F362BF">
      <w:pPr>
        <w:tabs>
          <w:tab w:val="left" w:pos="1975"/>
        </w:tabs>
        <w:spacing w:after="0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F362BF" w:rsidRPr="008F2B45" w:rsidRDefault="00F362BF" w:rsidP="00F362BF">
      <w:pPr>
        <w:tabs>
          <w:tab w:val="left" w:pos="1975"/>
        </w:tabs>
        <w:spacing w:after="0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Правила посещения группы кратковременного пребывания детей </w:t>
      </w:r>
    </w:p>
    <w:p w:rsidR="00F362BF" w:rsidRPr="008F2B45" w:rsidRDefault="00F362BF" w:rsidP="00F362BF">
      <w:pPr>
        <w:tabs>
          <w:tab w:val="left" w:pos="1975"/>
        </w:tabs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</w:p>
    <w:p w:rsidR="00F362BF" w:rsidRPr="008F2B45" w:rsidRDefault="00F362BF" w:rsidP="00F362BF">
      <w:pPr>
        <w:tabs>
          <w:tab w:val="left" w:pos="1975"/>
        </w:tabs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 xml:space="preserve">1. Настоящие Правила посещения группы кратковременного пребывания детей (далее — Правила посещения) определяют порядок пребывания детей в помещениях, выделенных для групп кратковременного пребывания. </w:t>
      </w:r>
    </w:p>
    <w:p w:rsidR="00F362BF" w:rsidRPr="008F2B45" w:rsidRDefault="00F362BF" w:rsidP="00F362BF">
      <w:pPr>
        <w:tabs>
          <w:tab w:val="left" w:pos="1975"/>
        </w:tabs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 xml:space="preserve">2. Время пребывания для одного ребенка в группе кратковременного пребывания детей не может превышать четырех часов. </w:t>
      </w:r>
    </w:p>
    <w:p w:rsidR="00F362BF" w:rsidRPr="008F2B45" w:rsidRDefault="00F362BF" w:rsidP="00F362BF">
      <w:pPr>
        <w:tabs>
          <w:tab w:val="left" w:pos="1975"/>
        </w:tabs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 xml:space="preserve">3. В группе кратковременного пребывания детей одновременно могут находиться не более 10 детей. При достижении указанного количества доступ детей в группу кратковременного пребывания прекращается. </w:t>
      </w:r>
    </w:p>
    <w:p w:rsidR="00F362BF" w:rsidRPr="008F2B45" w:rsidRDefault="00F362BF" w:rsidP="00F362BF">
      <w:pPr>
        <w:tabs>
          <w:tab w:val="left" w:pos="1975"/>
        </w:tabs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 xml:space="preserve">4. В группе кратковременного пребывания детей не осуществляется питание. </w:t>
      </w: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>5. В группе кратковременного пребывания детей запрещается использование колющих, режущих и иных предметов, способных причинить травму.</w:t>
      </w: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>6. К посещению допускаются дети без признаков острых респираторных вирусных инфекций и других заболеваний в острой фазе, которые не позволяют находиться в группе. При наличии у ребенка или у законного представителя ребенка признаков заболевания работник по присмотру и уходу за детьми вправе отказать законному представителю в посещении им и (или) его ребенком группы кратковременного пребывания.</w:t>
      </w: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>7. Работник по присмотру и уходу за детьми при приеме ребенка в группу кратковременного пребывания вправе измерить температуру тела ребенка бесконтактным термометром.</w:t>
      </w: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>8. Если ребенок имеет заболевания, которые могут ухудшить его самочувствие во время нахождения в группе в связи с присутствием других детей либо подвижными играми (в том числе, при взаимодействии с другими детьми), не рекомендуется нахождение его в группе. Работник по присмотру и уходу за детьми не несет ответственность за вред, связанный с ухудшением здоровья ребенка, если вред наступил в связи с его острым заболеванием, обострением травмы или хронического заболевания и не связан с действиями работника по присмотру и уходу.</w:t>
      </w: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 xml:space="preserve">9. Посещение группы кратковременного пребывания детьми разрешено только  в чистой и сменной обуви. </w:t>
      </w: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>10. Запрещается нахождение в детской комнате законных представителей в верхней одежде и обуви.</w:t>
      </w: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>11. За утерянные или оставленные без присмотра личные вещи посетителей группы кратковременного пребывания работник по присмотру и уходу за детьми ответственность не несет.</w:t>
      </w: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 xml:space="preserve">12. Законные представители/доверенные лица, оставляющие ребенка в группе кратковременного пребывания, обязаны забрать его до истечении четырех часов с момента оставления в группе кратковременного пребывания детей. </w:t>
      </w: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>13. Если в течение 30 минут по окончании времени работы группы кратковременного пребывания детей, за ребенком не придет законный представитель/доверенное лицо, работник по присмотру и уходу за детьми, либо руководство Центра вправе заявить в органы системы профилактики об оставлении ребенка.</w:t>
      </w: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F362BF" w:rsidRPr="008F2B45" w:rsidRDefault="00F362BF" w:rsidP="00F362BF">
      <w:pPr>
        <w:tabs>
          <w:tab w:val="left" w:pos="1975"/>
        </w:tabs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8F2B45">
        <w:rPr>
          <w:rFonts w:ascii="Times New Roman" w:hAnsi="Times New Roman" w:cs="Times New Roman"/>
          <w:color w:val="002060"/>
          <w:sz w:val="30"/>
          <w:szCs w:val="30"/>
        </w:rPr>
        <w:t xml:space="preserve">14. Работник по присмотру и уходу за детьми вправе обратиться к законному представителю (вызвать законного представителя) в случае непредвиденных ситуаций, возникающих с ребенком (приступы необоснованного плача, агрессии и др.). </w:t>
      </w:r>
    </w:p>
    <w:p w:rsidR="00410BD9" w:rsidRDefault="00410BD9"/>
    <w:sectPr w:rsidR="0041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7AE"/>
    <w:rsid w:val="00350FEB"/>
    <w:rsid w:val="00410BD9"/>
    <w:rsid w:val="007777AE"/>
    <w:rsid w:val="00866CA0"/>
    <w:rsid w:val="00F3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372DD-2263-8241-B5FB-06621241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Note_2</dc:creator>
  <cp:keywords/>
  <dc:description/>
  <cp:lastModifiedBy>Гость</cp:lastModifiedBy>
  <cp:revision>2</cp:revision>
  <dcterms:created xsi:type="dcterms:W3CDTF">2025-06-11T10:59:00Z</dcterms:created>
  <dcterms:modified xsi:type="dcterms:W3CDTF">2025-06-11T10:59:00Z</dcterms:modified>
</cp:coreProperties>
</file>