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93" w:type="dxa"/>
        <w:tblInd w:w="-1134" w:type="dxa"/>
        <w:tblLayout w:type="fixed"/>
        <w:tblLook w:val="00A0"/>
      </w:tblPr>
      <w:tblGrid>
        <w:gridCol w:w="5777"/>
        <w:gridCol w:w="5529"/>
        <w:gridCol w:w="5387"/>
      </w:tblGrid>
      <w:tr w:rsidR="0021033F">
        <w:trPr>
          <w:trHeight w:val="11896"/>
        </w:trPr>
        <w:tc>
          <w:tcPr>
            <w:tcW w:w="5777" w:type="dxa"/>
          </w:tcPr>
          <w:p w:rsidR="0021033F" w:rsidRDefault="008F1488">
            <w:pPr>
              <w:widowControl w:val="0"/>
              <w:ind w:left="283" w:right="175" w:hanging="142"/>
              <w:jc w:val="center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По всем интересующим вопросам можно обратиться в отделения ОГКУСЗН Ульяновской области  по месту жительства</w:t>
            </w:r>
          </w:p>
          <w:p w:rsidR="0021033F" w:rsidRDefault="0021033F">
            <w:pPr>
              <w:widowControl w:val="0"/>
              <w:ind w:left="141"/>
              <w:jc w:val="center"/>
              <w:rPr>
                <w:rFonts w:ascii="PT Astra Serif" w:hAnsi="PT Astra Serif"/>
                <w:b/>
                <w:i/>
              </w:rPr>
            </w:pPr>
          </w:p>
          <w:p w:rsidR="0021033F" w:rsidRDefault="0021033F">
            <w:pPr>
              <w:widowControl w:val="0"/>
              <w:ind w:left="141"/>
              <w:jc w:val="center"/>
              <w:rPr>
                <w:rFonts w:ascii="PT Astra Serif" w:hAnsi="PT Astra Serif"/>
                <w:b/>
                <w:i/>
              </w:rPr>
            </w:pPr>
          </w:p>
          <w:tbl>
            <w:tblPr>
              <w:tblW w:w="5388" w:type="dxa"/>
              <w:tblInd w:w="136" w:type="dxa"/>
              <w:tblLayout w:type="fixed"/>
              <w:tblLook w:val="00A0"/>
            </w:tblPr>
            <w:tblGrid>
              <w:gridCol w:w="5388"/>
            </w:tblGrid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Заволжскому району, </w:t>
                  </w: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8(8422) 50-12-45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Засвияжскому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8(8422) 48-08-56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Ленинскому району, 8(8422) 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41-62-53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Железнодорожному району, </w:t>
                  </w: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8(8422)35-92-11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Димитровграду, 8(84235) 2-41-32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Базарносызганскому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</w:t>
                  </w:r>
                  <w:r>
                    <w:rPr>
                      <w:rFonts w:ascii="PT Astra Serif" w:hAnsi="PT Astra Serif" w:cs="PT Astra Serif"/>
                      <w:sz w:val="20"/>
                      <w:szCs w:val="20"/>
                    </w:rPr>
                    <w:t>8(84240) 2-16-77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Барышскому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8(84253) 2-15-43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Вешкаймскому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8(84243) 2-32-81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Инзенскому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8(84241) 2-49-97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Карсунскому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8(84246) 2-34-46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Кузоватовскому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8(84237) 2-10-58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Майнскому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8(84244) 2-10-05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Мелекесскому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8(84235) 2-69-08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Отделение по Николаевскому району, 8(84247) 2-14-94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Новомалыклинскому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</w:t>
                  </w:r>
                </w:p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8(84232) 2-21-05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Отделение по Новоспасскому району, 8(84238) 2-35-31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Новоульяновску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, 8(84255) 7-52-05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Павловскому 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району, 8(84248) 2-25-56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Отделение по Радищевскому району, 8(84239) 2-18-50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Сенгилеевскому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8(84233) 2-28-56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Старокулаткинскому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</w:t>
                  </w:r>
                </w:p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8(84249) 2-26-71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Старомайнскому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8(84230) 2-38-50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Отделение по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Сурскому району, 8(84242) 2-14-77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Тереньгульскому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8(84234) 2-12-33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Отделение по Ульяновскому району, 8(84254) 2-05-15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Цильнинскому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8(84245) 2-24-58</w:t>
                  </w:r>
                </w:p>
              </w:tc>
            </w:tr>
            <w:tr w:rsidR="0021033F">
              <w:trPr>
                <w:trHeight w:val="340"/>
              </w:trPr>
              <w:tc>
                <w:tcPr>
                  <w:tcW w:w="5388" w:type="dxa"/>
                </w:tcPr>
                <w:p w:rsidR="0021033F" w:rsidRDefault="008F1488">
                  <w:pPr>
                    <w:widowControl w:val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Отделение по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Чердаклинскому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району, 8(84231) 2-22-59</w:t>
                  </w:r>
                </w:p>
              </w:tc>
            </w:tr>
          </w:tbl>
          <w:p w:rsidR="0021033F" w:rsidRDefault="0021033F">
            <w:pPr>
              <w:widowControl w:val="0"/>
              <w:rPr>
                <w:rFonts w:ascii="PT Astra Serif" w:hAnsi="PT Astra Serif"/>
                <w:sz w:val="25"/>
                <w:szCs w:val="25"/>
              </w:rPr>
            </w:pPr>
          </w:p>
          <w:p w:rsidR="0021033F" w:rsidRDefault="0021033F">
            <w:pPr>
              <w:widowControl w:val="0"/>
            </w:pPr>
          </w:p>
        </w:tc>
        <w:tc>
          <w:tcPr>
            <w:tcW w:w="5529" w:type="dxa"/>
          </w:tcPr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i/>
                <w:sz w:val="40"/>
                <w:szCs w:val="40"/>
              </w:rPr>
            </w:pPr>
          </w:p>
          <w:p w:rsidR="0021033F" w:rsidRDefault="008F1488">
            <w:pPr>
              <w:widowControl w:val="0"/>
              <w:jc w:val="center"/>
            </w:pPr>
            <w:r>
              <w:rPr>
                <w:rFonts w:ascii="PT Astra Serif" w:hAnsi="PT Astra Serif"/>
                <w:b/>
                <w:i/>
                <w:sz w:val="40"/>
                <w:szCs w:val="40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5387" w:type="dxa"/>
          </w:tcPr>
          <w:p w:rsidR="0021033F" w:rsidRDefault="008F1488">
            <w:pPr>
              <w:widowControl w:val="0"/>
              <w:ind w:left="1890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205740</wp:posOffset>
                  </wp:positionV>
                  <wp:extent cx="647700" cy="1083945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033F" w:rsidRDefault="008F1488">
            <w:pPr>
              <w:widowControl w:val="0"/>
              <w:spacing w:line="100" w:lineRule="atLeast"/>
              <w:ind w:left="-8" w:right="32"/>
              <w:jc w:val="right"/>
              <w:textAlignment w:val="baseline"/>
              <w:rPr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b/>
                <w:kern w:val="2"/>
                <w:sz w:val="28"/>
                <w:szCs w:val="28"/>
                <w:lang w:eastAsia="en-US"/>
              </w:rPr>
              <w:t>ОГКУСЗН</w:t>
            </w:r>
          </w:p>
          <w:p w:rsidR="0021033F" w:rsidRDefault="008F1488">
            <w:pPr>
              <w:widowControl w:val="0"/>
              <w:spacing w:line="100" w:lineRule="atLeast"/>
              <w:ind w:left="-8" w:right="32"/>
              <w:jc w:val="right"/>
              <w:textAlignment w:val="baseline"/>
              <w:rPr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b/>
                <w:kern w:val="2"/>
                <w:sz w:val="28"/>
                <w:szCs w:val="28"/>
                <w:lang w:eastAsia="en-US"/>
              </w:rPr>
              <w:t>Ульяновской области</w:t>
            </w:r>
          </w:p>
          <w:p w:rsidR="0021033F" w:rsidRDefault="0021033F">
            <w:pPr>
              <w:widowControl w:val="0"/>
              <w:jc w:val="center"/>
            </w:pPr>
          </w:p>
          <w:p w:rsidR="0021033F" w:rsidRDefault="0021033F">
            <w:pPr>
              <w:widowControl w:val="0"/>
              <w:jc w:val="center"/>
            </w:pPr>
          </w:p>
          <w:p w:rsidR="0021033F" w:rsidRDefault="0021033F">
            <w:pPr>
              <w:widowControl w:val="0"/>
              <w:jc w:val="center"/>
            </w:pPr>
          </w:p>
          <w:p w:rsidR="0021033F" w:rsidRDefault="0021033F">
            <w:pPr>
              <w:widowControl w:val="0"/>
              <w:jc w:val="center"/>
            </w:pPr>
          </w:p>
          <w:p w:rsidR="0021033F" w:rsidRDefault="0021033F">
            <w:pPr>
              <w:widowControl w:val="0"/>
              <w:jc w:val="center"/>
            </w:pPr>
          </w:p>
          <w:p w:rsidR="0021033F" w:rsidRDefault="0021033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033F" w:rsidRDefault="008F1488">
            <w:pPr>
              <w:widowControl w:val="0"/>
              <w:jc w:val="center"/>
              <w:rPr>
                <w:rFonts w:ascii="PT Astra Serif" w:hAnsi="PT Astra Serif" w:cs="Arial"/>
                <w:sz w:val="40"/>
                <w:szCs w:val="40"/>
              </w:rPr>
            </w:pPr>
            <w:r>
              <w:rPr>
                <w:rFonts w:ascii="PT Astra Serif" w:hAnsi="PT Astra Serif" w:cs="Arial"/>
                <w:sz w:val="40"/>
                <w:szCs w:val="40"/>
              </w:rPr>
              <w:t>О некоторых мерах, способствующих повышению рождаемости на территории Ульяновской области в 2025-2027 годах</w:t>
            </w:r>
          </w:p>
          <w:p w:rsidR="0021033F" w:rsidRDefault="0021033F">
            <w:pPr>
              <w:widowControl w:val="0"/>
              <w:jc w:val="center"/>
              <w:rPr>
                <w:rFonts w:ascii="PT Astra Serif" w:hAnsi="PT Astra Serif" w:cs="Arial"/>
                <w:sz w:val="40"/>
                <w:szCs w:val="40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1033F" w:rsidRDefault="0021033F">
            <w:pPr>
              <w:widowControl w:val="0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1033F" w:rsidRDefault="008F1488">
            <w:pPr>
              <w:widowControl w:val="0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1350" cy="21145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33F" w:rsidRDefault="0021033F">
            <w:pPr>
              <w:widowControl w:val="0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1033F" w:rsidRDefault="0021033F">
            <w:pPr>
              <w:widowControl w:val="0"/>
              <w:jc w:val="center"/>
            </w:pPr>
          </w:p>
          <w:p w:rsidR="0021033F" w:rsidRDefault="0021033F">
            <w:pPr>
              <w:widowControl w:val="0"/>
              <w:jc w:val="center"/>
            </w:pPr>
          </w:p>
          <w:p w:rsidR="0021033F" w:rsidRDefault="008F148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21033F">
        <w:trPr>
          <w:trHeight w:val="11896"/>
        </w:trPr>
        <w:tc>
          <w:tcPr>
            <w:tcW w:w="5777" w:type="dxa"/>
          </w:tcPr>
          <w:p w:rsidR="0021033F" w:rsidRDefault="0021033F">
            <w:pPr>
              <w:widowControl w:val="0"/>
              <w:ind w:left="283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21033F" w:rsidRDefault="008F1488">
            <w:pPr>
              <w:widowControl w:val="0"/>
              <w:ind w:left="283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Указом Губернатора Ульяновской области от 16.12.2024 № 127</w:t>
            </w:r>
            <w:r>
              <w:rPr>
                <w:rFonts w:ascii="PT Astra Serif" w:hAnsi="PT Astra Serif"/>
                <w:sz w:val="25"/>
                <w:szCs w:val="25"/>
              </w:rPr>
              <w:t xml:space="preserve"> «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 xml:space="preserve">О некоторых мерах, способствующих повышению рождаемости на территории Ульяновской области в 2025-2027 годах» предусмотрены пункты проката предметов первой необходимости для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новорожденных, которые функционируют с 01.05.2025 на территории каждого муниципального образования Ульяновской области</w:t>
            </w:r>
          </w:p>
          <w:p w:rsidR="0021033F" w:rsidRDefault="0021033F">
            <w:pPr>
              <w:widowControl w:val="0"/>
              <w:ind w:left="283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21033F" w:rsidRDefault="008F1488">
            <w:pPr>
              <w:widowControl w:val="0"/>
              <w:ind w:left="283" w:hanging="283"/>
              <w:jc w:val="both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Для кого предусмотрен  пункт проката предметов первой необходимости для детей в возрасте до полутора лет:</w:t>
            </w:r>
          </w:p>
          <w:p w:rsidR="0021033F" w:rsidRDefault="008F1488">
            <w:pPr>
              <w:widowControl w:val="0"/>
              <w:ind w:left="283" w:hanging="283"/>
              <w:jc w:val="both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- молодые семьи (указанные в п</w:t>
            </w:r>
            <w:r>
              <w:rPr>
                <w:rFonts w:ascii="PT Astra Serif" w:hAnsi="PT Astra Serif"/>
                <w:sz w:val="25"/>
                <w:szCs w:val="25"/>
              </w:rPr>
              <w:t>ункте 2 статьи 2 Федерального закона от 30.12.2020 № 489-ФЗ «О молодежной политике в Российской Федерации»);</w:t>
            </w:r>
          </w:p>
          <w:p w:rsidR="0021033F" w:rsidRDefault="008F1488">
            <w:pPr>
              <w:widowControl w:val="0"/>
              <w:ind w:left="283" w:hanging="283"/>
              <w:jc w:val="both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 xml:space="preserve">- студенческие семьи (семьи, оба родителя или единственный родитель в которых не достигли возраста 36 лет и обучаются в очной форме по </w:t>
            </w:r>
            <w:r>
              <w:rPr>
                <w:rFonts w:ascii="PT Astra Serif" w:hAnsi="PT Astra Serif"/>
                <w:sz w:val="25"/>
                <w:szCs w:val="25"/>
              </w:rPr>
              <w:t>образовательным программам среднего профессионального или высшего образования, реализуемым профессиональными образовательными организациями и (или) образовательными организациями высшего образования);</w:t>
            </w:r>
          </w:p>
          <w:p w:rsidR="0021033F" w:rsidRDefault="008F1488">
            <w:pPr>
              <w:widowControl w:val="0"/>
              <w:ind w:left="283" w:hanging="283"/>
              <w:jc w:val="both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- семьи, воспитывающие ребенка-инвалида;</w:t>
            </w:r>
          </w:p>
          <w:p w:rsidR="0021033F" w:rsidRDefault="008F1488">
            <w:pPr>
              <w:widowControl w:val="0"/>
              <w:ind w:left="283" w:hanging="283"/>
              <w:jc w:val="both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- семьи, в сос</w:t>
            </w:r>
            <w:r>
              <w:rPr>
                <w:rFonts w:ascii="PT Astra Serif" w:hAnsi="PT Astra Serif"/>
                <w:sz w:val="25"/>
                <w:szCs w:val="25"/>
              </w:rPr>
              <w:t>таве которых имеется единственный родитель;</w:t>
            </w:r>
          </w:p>
          <w:p w:rsidR="0021033F" w:rsidRDefault="008F1488">
            <w:pPr>
              <w:widowControl w:val="0"/>
              <w:ind w:left="283" w:hanging="283"/>
              <w:jc w:val="both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- многодетные семьи;</w:t>
            </w:r>
          </w:p>
          <w:p w:rsidR="0021033F" w:rsidRDefault="008F1488">
            <w:pPr>
              <w:widowControl w:val="0"/>
              <w:ind w:left="283" w:hanging="283"/>
              <w:jc w:val="both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- малоимущие семьи, имеющих детей, не достигших возраста полутора лет.</w:t>
            </w:r>
          </w:p>
          <w:p w:rsidR="0021033F" w:rsidRDefault="008F1488">
            <w:pPr>
              <w:widowControl w:val="0"/>
              <w:ind w:left="283" w:hanging="283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Пунктом проката могут воспользоваться семьи, в которых родился ребенок (дети) после 01.01.2025</w:t>
            </w:r>
          </w:p>
          <w:p w:rsidR="0021033F" w:rsidRDefault="0021033F">
            <w:pPr>
              <w:widowControl w:val="0"/>
            </w:pPr>
          </w:p>
        </w:tc>
        <w:tc>
          <w:tcPr>
            <w:tcW w:w="5529" w:type="dxa"/>
          </w:tcPr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21033F" w:rsidRDefault="008F1488">
            <w:pPr>
              <w:widowControl w:val="0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Какие предметы первой н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еобходимости для новорожденных можно получить в пункте проката?</w:t>
            </w: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Кроватка   для    новорожденного    прямоугольная с матрасом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Коляска   для   новорожденного  2 в 1 с   люлькой   и прогулочным   блоком  (круглогодичная)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Коляска     для    близнецов / погодо</w:t>
            </w:r>
            <w:r>
              <w:rPr>
                <w:rFonts w:ascii="PT Astra Serif" w:hAnsi="PT Astra Serif"/>
                <w:sz w:val="25"/>
                <w:szCs w:val="25"/>
              </w:rPr>
              <w:t>к 2 в 1 с люлькой и прогулочным   блоком (круглогодичная)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proofErr w:type="spellStart"/>
            <w:r>
              <w:rPr>
                <w:rFonts w:ascii="PT Astra Serif" w:hAnsi="PT Astra Serif"/>
                <w:sz w:val="25"/>
                <w:szCs w:val="25"/>
              </w:rPr>
              <w:t>Автолюлька</w:t>
            </w:r>
            <w:proofErr w:type="spellEnd"/>
            <w:r>
              <w:rPr>
                <w:rFonts w:ascii="PT Astra Serif" w:hAnsi="PT Astra Serif"/>
                <w:sz w:val="25"/>
                <w:szCs w:val="25"/>
              </w:rPr>
              <w:t xml:space="preserve"> для новорожденных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proofErr w:type="spellStart"/>
            <w:r>
              <w:rPr>
                <w:rFonts w:ascii="PT Astra Serif" w:hAnsi="PT Astra Serif"/>
                <w:sz w:val="25"/>
                <w:szCs w:val="25"/>
              </w:rPr>
              <w:t>Автокресло</w:t>
            </w:r>
            <w:proofErr w:type="spellEnd"/>
            <w:r>
              <w:rPr>
                <w:rFonts w:ascii="PT Astra Serif" w:hAnsi="PT Astra Serif"/>
                <w:sz w:val="25"/>
                <w:szCs w:val="25"/>
              </w:rPr>
              <w:t xml:space="preserve"> для ребёнка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Доска для пеленания на твёрдой основе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Детский стульчик для кормления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Детская ванночка с горкой для купания новорожденного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Манеж детский напольный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Ходунки детские с игровой панелью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Электронные весы для взвешивания новорожденных</w:t>
            </w:r>
          </w:p>
          <w:p w:rsidR="0021033F" w:rsidRDefault="008F148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Шезлонг для новорожденных</w:t>
            </w:r>
          </w:p>
          <w:p w:rsidR="0021033F" w:rsidRDefault="008F1488">
            <w:pPr>
              <w:widowControl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8500" cy="2930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93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21033F" w:rsidRDefault="0021033F">
            <w:pPr>
              <w:widowControl w:val="0"/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21033F" w:rsidRDefault="0021033F">
            <w:pPr>
              <w:widowControl w:val="0"/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21033F" w:rsidRDefault="008F1488">
            <w:pPr>
              <w:widowControl w:val="0"/>
              <w:ind w:left="814"/>
              <w:jc w:val="both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7475" cy="2419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33F" w:rsidRDefault="0021033F">
            <w:pPr>
              <w:widowControl w:val="0"/>
              <w:ind w:left="814"/>
              <w:jc w:val="both"/>
              <w:rPr>
                <w:lang w:eastAsia="ru-RU"/>
              </w:rPr>
            </w:pPr>
          </w:p>
          <w:p w:rsidR="0021033F" w:rsidRDefault="0021033F">
            <w:pPr>
              <w:widowControl w:val="0"/>
              <w:ind w:left="814"/>
              <w:jc w:val="both"/>
              <w:rPr>
                <w:lang w:eastAsia="ru-RU"/>
              </w:rPr>
            </w:pPr>
          </w:p>
          <w:p w:rsidR="0021033F" w:rsidRDefault="008F1488">
            <w:pPr>
              <w:widowControl w:val="0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Перечень документов, необходимых для оформления предметов первой необходимости для новорожденных</w:t>
            </w:r>
          </w:p>
          <w:p w:rsidR="0021033F" w:rsidRDefault="0021033F">
            <w:pPr>
              <w:widowControl w:val="0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21033F" w:rsidRDefault="008F1488">
            <w:pPr>
              <w:widowControl w:val="0"/>
              <w:numPr>
                <w:ilvl w:val="0"/>
                <w:numId w:val="2"/>
              </w:numPr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Документ, удостоверяющий личность в соответ</w:t>
            </w:r>
            <w:r>
              <w:rPr>
                <w:rFonts w:ascii="PT Astra Serif" w:hAnsi="PT Astra Serif"/>
                <w:sz w:val="25"/>
                <w:szCs w:val="25"/>
              </w:rPr>
              <w:t>ствии с законодательством Российской Федерации</w:t>
            </w:r>
          </w:p>
          <w:p w:rsidR="0021033F" w:rsidRDefault="008F1488">
            <w:pPr>
              <w:widowControl w:val="0"/>
              <w:numPr>
                <w:ilvl w:val="0"/>
                <w:numId w:val="2"/>
              </w:numPr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Свидетельство о рождении ребёнка (детей)</w:t>
            </w:r>
          </w:p>
          <w:p w:rsidR="0021033F" w:rsidRDefault="008F1488">
            <w:pPr>
              <w:widowControl w:val="0"/>
              <w:numPr>
                <w:ilvl w:val="0"/>
                <w:numId w:val="2"/>
              </w:numPr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Документ, подтверждающий регистрацию заявителя по месту жительства в Ульяновской области – в случае, отсутствия сведений в документе, удостоверяющем личность;</w:t>
            </w:r>
          </w:p>
          <w:p w:rsidR="0021033F" w:rsidRDefault="008F1488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PT Astra Serif" w:hAnsi="PT Astra Serif"/>
                <w:sz w:val="25"/>
                <w:szCs w:val="25"/>
              </w:rPr>
              <w:t>Документ,</w:t>
            </w:r>
            <w:r>
              <w:rPr>
                <w:rFonts w:ascii="PT Astra Serif" w:hAnsi="PT Astra Serif"/>
                <w:sz w:val="25"/>
                <w:szCs w:val="25"/>
              </w:rPr>
              <w:t xml:space="preserve"> удостоверяющий личность представителя заявителя, и документ, подтверждающий его полномочия.</w:t>
            </w:r>
          </w:p>
        </w:tc>
      </w:tr>
    </w:tbl>
    <w:p w:rsidR="0021033F" w:rsidRDefault="0021033F">
      <w:bookmarkStart w:id="0" w:name="_GoBack"/>
      <w:bookmarkEnd w:id="0"/>
    </w:p>
    <w:sectPr w:rsidR="0021033F" w:rsidSect="0021033F">
      <w:pgSz w:w="16838" w:h="11906" w:orient="landscape"/>
      <w:pgMar w:top="0" w:right="0" w:bottom="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48E"/>
    <w:multiLevelType w:val="multilevel"/>
    <w:tmpl w:val="79760AD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>
    <w:nsid w:val="106512B7"/>
    <w:multiLevelType w:val="multilevel"/>
    <w:tmpl w:val="EA42A0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5"/>
        <w:szCs w:val="2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694B3CA4"/>
    <w:multiLevelType w:val="multilevel"/>
    <w:tmpl w:val="4C70E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1033F"/>
    <w:rsid w:val="0021033F"/>
    <w:rsid w:val="008F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A0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FA33A0"/>
    <w:rPr>
      <w:rFonts w:ascii="Tahoma" w:hAnsi="Tahoma" w:cs="Tahoma"/>
      <w:sz w:val="16"/>
      <w:szCs w:val="16"/>
      <w:lang w:eastAsia="ar-SA" w:bidi="ar-SA"/>
    </w:rPr>
  </w:style>
  <w:style w:type="paragraph" w:customStyle="1" w:styleId="a5">
    <w:name w:val="Заголовок"/>
    <w:basedOn w:val="a"/>
    <w:next w:val="a6"/>
    <w:qFormat/>
    <w:rsid w:val="0021033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21033F"/>
    <w:pPr>
      <w:spacing w:after="140" w:line="276" w:lineRule="auto"/>
    </w:pPr>
  </w:style>
  <w:style w:type="paragraph" w:styleId="a7">
    <w:name w:val="List"/>
    <w:basedOn w:val="a6"/>
    <w:rsid w:val="0021033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1033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21033F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qFormat/>
    <w:rsid w:val="00FA33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FA3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Баранова</dc:creator>
  <cp:lastModifiedBy>Admin</cp:lastModifiedBy>
  <cp:revision>2</cp:revision>
  <cp:lastPrinted>2025-04-03T10:06:00Z</cp:lastPrinted>
  <dcterms:created xsi:type="dcterms:W3CDTF">2026-07-01T11:14:00Z</dcterms:created>
  <dcterms:modified xsi:type="dcterms:W3CDTF">2026-07-01T11:14:00Z</dcterms:modified>
  <dc:language>ru-RU</dc:language>
</cp:coreProperties>
</file>